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393</w:t>
      </w:r>
    </w:p>
    <w:p>
      <w:r>
        <w:t>Bundesgericht (BGE), 2010-12-24, FR</w:t>
      </w:r>
    </w:p>
    <w:p>
      <w:r>
        <w:rPr>
          <w:b/>
        </w:rPr>
        <w:t xml:space="preserve">Quelle: </w:t>
      </w:r>
      <w:r>
        <w:t>https://mcp.opencaselaw.ch/entscheid/bge_138 II 393</w:t>
      </w:r>
    </w:p>
    <w:p>
      <w:r>
        <w:t>FR: ATF 138 II 393</w:t>
      </w:r>
    </w:p>
    <w:p>
      <w:r>
        <w:t>IT: DTF 138 II 393</w:t>
      </w:r>
    </w:p>
    <w:p>
      <w:pPr>
        <w:pStyle w:val="Heading2"/>
      </w:pPr>
      <w:r>
        <w:t>Regeste</w:t>
      </w:r>
    </w:p>
    <w:p>
      <w:r>
        <w:t>Regeste Art. 50 Abs. 1 lit. b und Abs. 2 AuG; Fortsetzung des Aufenthalts in der Schweiz aus wichtigen persönlichen Gründen. Falls keine besonderen Umstände vorliegen, welche Zweifel an der Rechtmässigkeit der Ehe oder an der Intensität der Verbundenheit der Ehegatten aufkommen lassen, so wird vermutet, dass der Tod des schweizerischen Gatten einen schwerwiegenden persönlichen Grund darstellt, welcher den weiteren Aufenthalt des hinterbliebenen ausländischen Gatten in der Schweiz erforderlich macht, ohne dass noch weiter zu prüfen wäre, ob die Wiedereingliederung des Letzteren in seinem Herkunftsland stark gefährdet erscheint (Präzisierung der Rechtsprechung; E. 3).</w:t>
      </w:r>
    </w:p>
    <w:p>
      <w:pPr>
        <w:pStyle w:val="Heading2"/>
      </w:pPr>
      <w:r>
        <w:t>Erwägungen</w:t>
      </w:r>
    </w:p>
    <w:p>
      <w:r>
        <w:rPr>
          <w:b/>
        </w:rPr>
        <w:t>E. 2</w:t>
      </w:r>
    </w:p>
    <w:p>
      <w:r>
        <w:t>D'après l'art. 50 al. 1 LEtr (RS 142.20), après dissolution de la famille, le droit du conjoint et des enfants à l'octroi d'une autorisation de séjour et à la prolongation de sa durée de validité en vertu des art. 42 et 43 subsiste si l'union conjugale a duré au moins trois ans et l'intégration est réussie (let. a). A cet égard, l'instance précédente a constaté à bon droit que l'union conjugale n'avait pas duré 3 ans et que la limite légale de l'art. 50 al. 1 let. a LEtr n'avait pas été atteinte. Au demeurant la recourante se prévaut uniquement de l'art. 50 al. 1 let. b LEtr.</w:t>
      </w:r>
    </w:p>
    <w:p>
      <w:r>
        <w:rPr>
          <w:b/>
        </w:rPr>
        <w:t>E. 3.1</w:t>
      </w:r>
    </w:p>
    <w:p>
      <w:r>
        <w:t>Selon l'art. 50 al. 1 let. b LEtr, après dissolution de la famille, le droit du conjoint et des enfants à l'octroi d'une autorisation de séjour et à la prolongation de sa durée de validité en vertu des BGE 138 II 393 S. 395 art. 42 et 43 subsiste si la poursuite du séjour en Suisse s'impose pour des raisons personnelles majeures. L'art. 50 al. 1 let. b et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137 II 345 consid. 3.2.1 p. 348; ATF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137 II 345 consid. 3.2.1 p. 348; ATF 137 II 1 consid.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Parmi celles-ci figurent notamment les violences conjugales (art. 50 al. 2 LEtr et 77 al. 2 OASA [RS 142.201]), qui doivent revêtir une certaine intensité ( ATF 136 II 1 consid. 5.3 p. 4), la réintégration fortement compromise dans le pays d'origine et le cas dans lequel le conjoint duquel dépend le droit de séjour de l'étranger décède ( ATF 137 II 345 consid. 3.2.2 p. 349; ATF 136 II 1 consid. 5.3 p. 4).</w:t>
      </w:r>
    </w:p>
    <w:p>
      <w:r>
        <w:rPr>
          <w:b/>
        </w:rPr>
        <w:t>E. 3.2</w:t>
      </w:r>
    </w:p>
    <w:p>
      <w:r>
        <w:t>S'attachant à définir les rapports entre ces situations, la jurisprudence a déjà précisé que violence conjugale et réintégration fortement compromise peuvent, selon les circonstances et au regard de leur gravité, chacune - pour elle-même - constituer une raison personnelle majeure, ajoutant que, lorsqu'elles se conjuguent, elles BGE 138 II 393 S. 396 justifient le maintien du droit de séjour du conjoint et des enfants ( ATF 136 II 1 consid. 4 et 5 p. 2 ss).</w:t>
      </w:r>
    </w:p>
    <w:p>
      <w:r>
        <w:rPr>
          <w:b/>
        </w:rPr>
        <w:t>E. 3.3</w:t>
      </w:r>
    </w:p>
    <w:p>
      <w:r>
        <w:t>Selon la jurisprudence actuelle, la mort du conjoint ne constitue en revanche pas un motif conduisant nécessairement à la prolongation de l'autorisation en vertu de l'art. 50 al. 1 let. b LEtr. Il convient plutôt de déterminer sur la base des circonstances de l'espèce si l'on est en présence d'un cas de rigueur ( ATF 137 II 1 ), en particulier de celles qui ont prévalu avant et pendant le mariage, jusqu'à sa dissolution en raison du décès. La situation de l'étranger après le décès doit aussi être prise en compte. Ces éléments jouent un rôle important pour établir la volonté réelle des conjoints d'officialiser l'intensité des liens qui les unissaient et évaluer l'importance des conséquences qui découlent du décès du conjoint suisse sur la vie privée et familiale de l'étranger ( ATF 137 II 345 ). Force est de constater, selon l'expérience de la vie et le cours ordinaire des choses, que le lien conjugal est, d'une manière générale, bien réel et intense, au point que le décès du conjoint constitue l'un des événements majeurs de la vie de l'autre conjoint, d'autant plus grave et considérable qu'il a lieu dans un contexte migratoire. C'est la raison pour laquelle la jurisprudence doit être précisée en ce sens que,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LEtr, sans qu'il soit nécessaire d'examiner encore le caractère fortement compromis de la réintégration de ce dernier dans le pays de provenance. Cette présomption n'est pas irréfragable. Les autorités de police des étrangers peuvent démontrer l'existence de circonstances particulières permettant de douter de la réalité des liens qui unissaient les époux. Parmi celles-ci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suisse, démontrant qu'au moment du décès la communauté conjugale était rompue.</w:t>
      </w:r>
    </w:p>
    <w:p>
      <w:r>
        <w:rPr>
          <w:b/>
        </w:rPr>
        <w:t>E. 3.4</w:t>
      </w:r>
    </w:p>
    <w:p>
      <w:r>
        <w:t>Dans tous les cas, l'existence d'une des situations objectives conférant un droit à la poursuite du séjour ne prive pas les autorités de BGE 138 II 393 S. 397 police des étrangers de mettre en évidence d'autres circonstances concrètes (condamnations pénales, recours à l'aide sociale, etc.) qui, à l'issue d'une appréciation globale au sens de l'art. 96 LEtr, auraient néanmoins pour effet que la poursuite du séjour en Suisse doive être refusée.</w:t>
      </w:r>
    </w:p>
    <w:p>
      <w:r>
        <w:rPr>
          <w:b/>
        </w:rPr>
        <w:t>E. 3.5</w:t>
      </w:r>
    </w:p>
    <w:p>
      <w:r>
        <w:t>En l'espèce, l'instance précédente a refusé la poursuite du séjour parce que le mariage n'avait duré qu'un peu plus de deux ans et parce la réintégration de la recourante dans son pays d'origine n'était pas compromise. Ce raisonnement viole le droit fédéral en tant qu'il refuse la poursuite du séjour de la recourante en Suisse sans s'exprimer sur l'existence de circonstances particulières qui pourraient conduire à un tel refus. Au contraire, dans son recours en matière de droit public, la recourante se prévaut des circonstances pénibles liées au cancer puis au décès de son mari, notamment du fait qu'elle l'avait épaulé durant toute sa fin de vie, ce qui serait attesté par des lettres de sa belle-famille. Comme ces faits ne ressortent pas de l'arrêt attaqué, ils sont irrecevables ( art. 99 al.1 LTF ). Ils ne peuvent être pas être pris en considération par le Tribunal fédéral ( art. 105 al. 1 LTF ). Ils devront en revanche l'être, après renvoi de la cause, par l'instance précédente qui, à défaut de circonstances particulières (cf. consid. 3.3 et 3.4 ci-dessus) résultant d'un complément d'instruction, devra accorder une autorisation de séjour à la recourante.</w:t>
      </w:r>
    </w:p>
    <w:p>
      <w:r>
        <w:rPr>
          <w:b/>
        </w:rPr>
        <w:t>E. 3.6</w:t>
      </w:r>
    </w:p>
    <w:p>
      <w:r>
        <w:t>Les enfants de la recourante invoquent le droit au regroupement familial avec une personne ayant le droit de séjourner de manière durable en Suisse, tel que déduit de l' art. 8 CEDH . Dans la mesure où leur mère ne disposait pas d'un tel droit, aux termes de l'arrêt attaqué, le Tribunal cantonal n'a pas examiné cette question, qui devra l'être si, au vu du résultat de l'instruction complémentaire, la recourante est autorisée à poursuivre son séjour en Suisse en application de l'art. 50 al. 1 let. b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